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85" w:rsidRPr="00C03185" w:rsidRDefault="00C03185" w:rsidP="00C03185">
      <w:pPr>
        <w:keepNext/>
        <w:spacing w:before="240" w:after="120"/>
        <w:jc w:val="both"/>
        <w:outlineLvl w:val="1"/>
        <w:rPr>
          <w:rFonts w:ascii="Calibri" w:eastAsia="MS Mincho" w:hAnsi="Calibri" w:cs="Times New Roman"/>
          <w:b/>
          <w:bCs/>
          <w:color w:val="000000"/>
          <w:sz w:val="28"/>
          <w:szCs w:val="28"/>
          <w:lang w:eastAsia="en-US"/>
        </w:rPr>
      </w:pPr>
      <w:bookmarkStart w:id="0" w:name="_Toc372278342"/>
      <w:r w:rsidRPr="00C03185">
        <w:rPr>
          <w:rFonts w:ascii="Calibri" w:eastAsia="MS Mincho" w:hAnsi="Calibri" w:cs="Times New Roman"/>
          <w:b/>
          <w:bCs/>
          <w:color w:val="000000"/>
          <w:sz w:val="28"/>
          <w:szCs w:val="28"/>
          <w:lang w:eastAsia="en-US"/>
        </w:rPr>
        <w:t>Sample Personal Property Security Interest clauses for inclusion in grape and wine contracts</w:t>
      </w:r>
      <w:bookmarkEnd w:id="0"/>
    </w:p>
    <w:p w:rsidR="00C03185" w:rsidRPr="00C03185" w:rsidRDefault="00C03185" w:rsidP="00C03185">
      <w:pPr>
        <w:numPr>
          <w:ilvl w:val="0"/>
          <w:numId w:val="2"/>
        </w:numPr>
        <w:spacing w:before="240" w:after="120" w:line="276" w:lineRule="auto"/>
        <w:jc w:val="both"/>
        <w:rPr>
          <w:rFonts w:eastAsiaTheme="minorEastAsia" w:cs="Times New Roman"/>
          <w:b/>
          <w:color w:val="0A0A0A"/>
          <w:sz w:val="24"/>
          <w:szCs w:val="22"/>
        </w:rPr>
      </w:pPr>
      <w:r w:rsidRPr="00C03185">
        <w:rPr>
          <w:rFonts w:eastAsiaTheme="minorEastAsia" w:cs="Times New Roman"/>
          <w:b/>
          <w:color w:val="0A0A0A"/>
          <w:sz w:val="24"/>
          <w:szCs w:val="22"/>
        </w:rPr>
        <w:t>Where Grapes or Wine are Sold with Credit Extended (i.e. typical arrangement)</w:t>
      </w:r>
    </w:p>
    <w:p w:rsidR="00C03185" w:rsidRPr="00C03185" w:rsidRDefault="00C03185" w:rsidP="00C03185">
      <w:pPr>
        <w:ind w:left="720"/>
        <w:rPr>
          <w:rFonts w:eastAsiaTheme="minorEastAsia" w:cs="Times New Roman"/>
          <w:b/>
          <w:i/>
          <w:color w:val="0A0A0A"/>
          <w:szCs w:val="22"/>
          <w:u w:val="single"/>
        </w:rPr>
      </w:pPr>
      <w:r w:rsidRPr="00C03185">
        <w:rPr>
          <w:rFonts w:eastAsiaTheme="minorEastAsia" w:cs="Times New Roman"/>
          <w:b/>
          <w:i/>
          <w:color w:val="0A0A0A"/>
          <w:szCs w:val="22"/>
          <w:u w:val="single"/>
        </w:rPr>
        <w:t>Agreement to create the Personal Property Security Interest</w:t>
      </w:r>
    </w:p>
    <w:p w:rsidR="00C03185" w:rsidRPr="00C03185" w:rsidRDefault="00C03185" w:rsidP="00C03185">
      <w:pPr>
        <w:ind w:left="720"/>
        <w:rPr>
          <w:rFonts w:eastAsiaTheme="minorEastAsia" w:cs="Times New Roman"/>
          <w:color w:val="0A0A0A"/>
          <w:szCs w:val="22"/>
        </w:rPr>
      </w:pPr>
      <w:r w:rsidRPr="00C03185">
        <w:rPr>
          <w:rFonts w:eastAsiaTheme="minorEastAsia" w:cs="Times New Roman"/>
          <w:color w:val="0A0A0A"/>
          <w:szCs w:val="22"/>
        </w:rPr>
        <w:t>"The (</w:t>
      </w:r>
      <w:r w:rsidRPr="00C03185">
        <w:rPr>
          <w:rFonts w:ascii="Times New Roman" w:eastAsiaTheme="minorEastAsia" w:hAnsi="Times New Roman" w:cs="Times New Roman"/>
          <w:i/>
          <w:color w:val="0A0A0A"/>
          <w:szCs w:val="22"/>
        </w:rPr>
        <w:t>supplier/distributor etc</w:t>
      </w:r>
      <w:r w:rsidRPr="00C03185">
        <w:rPr>
          <w:rFonts w:eastAsiaTheme="minorEastAsia" w:cs="Times New Roman"/>
          <w:color w:val="0A0A0A"/>
          <w:szCs w:val="22"/>
        </w:rPr>
        <w:t>) claims a</w:t>
      </w:r>
      <w:r w:rsidRPr="00C03185">
        <w:rPr>
          <w:rFonts w:eastAsiaTheme="minorEastAsia" w:cs="Times New Roman"/>
          <w:color w:val="0A0A0A"/>
          <w:sz w:val="19"/>
          <w:szCs w:val="19"/>
        </w:rPr>
        <w:t xml:space="preserve"> </w:t>
      </w:r>
      <w:r w:rsidRPr="00C03185">
        <w:rPr>
          <w:rFonts w:eastAsiaTheme="minorEastAsia" w:cs="Times New Roman"/>
          <w:color w:val="0A0A0A"/>
          <w:szCs w:val="22"/>
        </w:rPr>
        <w:t>purchase money security interest, as</w:t>
      </w:r>
      <w:r w:rsidRPr="00C03185">
        <w:rPr>
          <w:rFonts w:eastAsiaTheme="minorEastAsia" w:cs="Times New Roman"/>
          <w:color w:val="0A0A0A"/>
          <w:sz w:val="19"/>
          <w:szCs w:val="19"/>
        </w:rPr>
        <w:t xml:space="preserve"> </w:t>
      </w:r>
      <w:r w:rsidRPr="00C03185">
        <w:rPr>
          <w:rFonts w:eastAsiaTheme="minorEastAsia" w:cs="Times New Roman"/>
          <w:color w:val="0A0A0A"/>
          <w:szCs w:val="22"/>
        </w:rPr>
        <w:t>defined in the Personal Property Securities Act 2009 (Commonwealth) in the (</w:t>
      </w:r>
      <w:r w:rsidRPr="00C03185">
        <w:rPr>
          <w:rFonts w:ascii="Times New Roman" w:eastAsiaTheme="minorEastAsia" w:hAnsi="Times New Roman" w:cs="Times New Roman"/>
          <w:i/>
          <w:color w:val="0A0A0A"/>
          <w:szCs w:val="22"/>
        </w:rPr>
        <w:t>Description of goods, i.e. grapes</w:t>
      </w:r>
      <w:r w:rsidRPr="00C03185">
        <w:rPr>
          <w:rFonts w:eastAsiaTheme="minorEastAsia" w:cs="Times New Roman"/>
          <w:color w:val="0A0A0A"/>
          <w:szCs w:val="22"/>
        </w:rPr>
        <w:t>) so as to secure payment of the full purchase price of such items as are delivered from time to time".</w:t>
      </w:r>
    </w:p>
    <w:p w:rsidR="00C03185" w:rsidRPr="00C03185" w:rsidRDefault="00C03185" w:rsidP="00C03185">
      <w:pPr>
        <w:ind w:left="720"/>
        <w:rPr>
          <w:rFonts w:eastAsiaTheme="minorEastAsia" w:cs="Times New Roman"/>
          <w:color w:val="0A0A0A"/>
          <w:szCs w:val="22"/>
          <w:u w:val="single"/>
        </w:rPr>
      </w:pPr>
      <w:r w:rsidRPr="00C03185">
        <w:rPr>
          <w:rFonts w:eastAsiaTheme="minorEastAsia" w:cs="Times New Roman"/>
          <w:color w:val="0A0A0A"/>
          <w:szCs w:val="22"/>
          <w:u w:val="single" w:color="000000"/>
        </w:rPr>
        <w:t>Acknowledgement by the Customer</w:t>
      </w:r>
    </w:p>
    <w:p w:rsidR="00C03185" w:rsidRPr="00C03185" w:rsidRDefault="00C03185" w:rsidP="00C03185">
      <w:pPr>
        <w:numPr>
          <w:ilvl w:val="0"/>
          <w:numId w:val="1"/>
        </w:numPr>
        <w:spacing w:before="0" w:after="120" w:line="276" w:lineRule="auto"/>
        <w:jc w:val="both"/>
        <w:rPr>
          <w:rFonts w:eastAsiaTheme="minorEastAsia" w:cs="Times New Roman"/>
          <w:color w:val="0A0A0A"/>
          <w:szCs w:val="22"/>
        </w:rPr>
      </w:pPr>
      <w:r w:rsidRPr="00C03185">
        <w:rPr>
          <w:rFonts w:eastAsiaTheme="minorEastAsia" w:cs="Times New Roman"/>
          <w:color w:val="0A0A0A"/>
          <w:szCs w:val="22"/>
        </w:rPr>
        <w:t>The Customer grants to the (</w:t>
      </w:r>
      <w:r w:rsidRPr="00C03185">
        <w:rPr>
          <w:rFonts w:ascii="Times New Roman" w:eastAsiaTheme="minorEastAsia" w:hAnsi="Times New Roman" w:cs="Times New Roman"/>
          <w:i/>
          <w:color w:val="0A0A0A"/>
          <w:szCs w:val="22"/>
        </w:rPr>
        <w:t>supplier/distributor</w:t>
      </w:r>
      <w:r w:rsidRPr="00C03185">
        <w:rPr>
          <w:rFonts w:eastAsiaTheme="minorEastAsia" w:cs="Times New Roman"/>
          <w:color w:val="0A0A0A"/>
          <w:szCs w:val="22"/>
        </w:rPr>
        <w:t xml:space="preserve">) </w:t>
      </w:r>
      <w:r w:rsidRPr="00C03185">
        <w:rPr>
          <w:rFonts w:ascii="Times New Roman" w:eastAsiaTheme="minorEastAsia" w:hAnsi="Times New Roman" w:cs="Times New Roman"/>
          <w:color w:val="0A0A0A"/>
          <w:sz w:val="24"/>
        </w:rPr>
        <w:t xml:space="preserve">a </w:t>
      </w:r>
      <w:r w:rsidRPr="00C03185">
        <w:rPr>
          <w:rFonts w:eastAsiaTheme="minorEastAsia" w:cs="Times New Roman"/>
          <w:color w:val="0A0A0A"/>
          <w:szCs w:val="22"/>
        </w:rPr>
        <w:t>PMSI in the Personal Goods and any proceeds of their sale to secure payment of the purchase price of the Personal Goods delivered from time to time.</w:t>
      </w:r>
    </w:p>
    <w:p w:rsidR="00C03185" w:rsidRPr="00C03185" w:rsidRDefault="00C03185" w:rsidP="00C03185">
      <w:pPr>
        <w:numPr>
          <w:ilvl w:val="0"/>
          <w:numId w:val="1"/>
        </w:numPr>
        <w:spacing w:before="0" w:after="120" w:line="276" w:lineRule="auto"/>
        <w:jc w:val="both"/>
        <w:rPr>
          <w:rFonts w:eastAsiaTheme="minorEastAsia" w:cs="Times New Roman"/>
          <w:color w:val="0A0A0A"/>
          <w:szCs w:val="22"/>
        </w:rPr>
      </w:pPr>
      <w:r w:rsidRPr="00C03185">
        <w:rPr>
          <w:rFonts w:eastAsiaTheme="minorEastAsia" w:cs="Times New Roman"/>
          <w:color w:val="0A0A0A"/>
          <w:szCs w:val="22"/>
        </w:rPr>
        <w:t>The Customer agrees not to do or permit anything to be done that may result in the PMSI granted to the (</w:t>
      </w:r>
      <w:r w:rsidRPr="00C03185">
        <w:rPr>
          <w:rFonts w:ascii="Times New Roman" w:eastAsiaTheme="minorEastAsia" w:hAnsi="Times New Roman" w:cs="Times New Roman"/>
          <w:i/>
          <w:color w:val="0A0A0A"/>
          <w:szCs w:val="22"/>
        </w:rPr>
        <w:t>supplier/distributor</w:t>
      </w:r>
      <w:r w:rsidRPr="00C03185">
        <w:rPr>
          <w:rFonts w:eastAsiaTheme="minorEastAsia" w:cs="Times New Roman"/>
          <w:color w:val="0A0A0A"/>
          <w:szCs w:val="22"/>
        </w:rPr>
        <w:t>) to rank or to be subjected to priority to any other Personal Property Security Interest in favour of any other party.</w:t>
      </w:r>
    </w:p>
    <w:p w:rsidR="00C03185" w:rsidRPr="00C03185" w:rsidRDefault="00C03185" w:rsidP="00C03185">
      <w:pPr>
        <w:numPr>
          <w:ilvl w:val="0"/>
          <w:numId w:val="1"/>
        </w:numPr>
        <w:spacing w:before="0" w:after="120" w:line="276" w:lineRule="auto"/>
        <w:jc w:val="both"/>
        <w:rPr>
          <w:rFonts w:eastAsiaTheme="minorEastAsia" w:cs="Times New Roman"/>
          <w:color w:val="0A0A0A"/>
          <w:szCs w:val="22"/>
        </w:rPr>
      </w:pPr>
      <w:r w:rsidRPr="00C03185">
        <w:rPr>
          <w:rFonts w:eastAsiaTheme="minorEastAsia" w:cs="Times New Roman"/>
          <w:color w:val="0A0A0A"/>
          <w:szCs w:val="22"/>
        </w:rPr>
        <w:t>The Customer agrees to take such further steps which may be required by the (</w:t>
      </w:r>
      <w:r w:rsidRPr="00C03185">
        <w:rPr>
          <w:rFonts w:ascii="Times New Roman" w:eastAsiaTheme="minorEastAsia" w:hAnsi="Times New Roman" w:cs="Times New Roman"/>
          <w:i/>
          <w:color w:val="0A0A0A"/>
          <w:szCs w:val="22"/>
        </w:rPr>
        <w:t>supplier/distributor</w:t>
      </w:r>
      <w:r w:rsidRPr="00C03185">
        <w:rPr>
          <w:rFonts w:eastAsiaTheme="minorEastAsia" w:cs="Times New Roman"/>
          <w:color w:val="0A0A0A"/>
          <w:szCs w:val="22"/>
        </w:rPr>
        <w:t xml:space="preserve">) to take additional or better security under the PPS Act over the Personal Goods and the proceeds of their sale, or to maintain the ability to claim and realise the Security Interest, including its priority, pursuant to the PPS Act or by reason of the financing statement (in order to avoid any doubt, this obligation </w:t>
      </w:r>
      <w:r w:rsidRPr="00C03185">
        <w:rPr>
          <w:rFonts w:eastAsiaTheme="minorEastAsia" w:cs="Times New Roman"/>
          <w:color w:val="0A0A0A"/>
          <w:sz w:val="21"/>
          <w:szCs w:val="21"/>
        </w:rPr>
        <w:t xml:space="preserve">on </w:t>
      </w:r>
      <w:r w:rsidRPr="00C03185">
        <w:rPr>
          <w:rFonts w:eastAsiaTheme="minorEastAsia" w:cs="Times New Roman"/>
          <w:color w:val="0A0A0A"/>
          <w:szCs w:val="22"/>
        </w:rPr>
        <w:t xml:space="preserve">the part </w:t>
      </w:r>
      <w:r w:rsidRPr="00C03185">
        <w:rPr>
          <w:rFonts w:eastAsiaTheme="minorEastAsia" w:cs="Times New Roman"/>
          <w:color w:val="0A0A0A"/>
          <w:sz w:val="21"/>
          <w:szCs w:val="21"/>
        </w:rPr>
        <w:t xml:space="preserve">of </w:t>
      </w:r>
      <w:r w:rsidRPr="00C03185">
        <w:rPr>
          <w:rFonts w:eastAsiaTheme="minorEastAsia" w:cs="Times New Roman"/>
          <w:color w:val="0A0A0A"/>
          <w:szCs w:val="22"/>
        </w:rPr>
        <w:t xml:space="preserve">the Customer includes obtaining written consents, supplying information, signing forms, executing documents, whether </w:t>
      </w:r>
      <w:r w:rsidRPr="00C03185">
        <w:rPr>
          <w:rFonts w:eastAsiaTheme="minorEastAsia" w:cs="Times New Roman"/>
          <w:color w:val="0A0A0A"/>
          <w:sz w:val="21"/>
          <w:szCs w:val="21"/>
        </w:rPr>
        <w:t xml:space="preserve">on </w:t>
      </w:r>
      <w:r w:rsidRPr="00C03185">
        <w:rPr>
          <w:rFonts w:eastAsiaTheme="minorEastAsia" w:cs="Times New Roman"/>
          <w:color w:val="0A0A0A"/>
          <w:szCs w:val="22"/>
        </w:rPr>
        <w:t xml:space="preserve">the part of the customer, any financier to the Customer, a lessor or landlord of the Customer or any third party having </w:t>
      </w:r>
      <w:r w:rsidRPr="00C03185">
        <w:rPr>
          <w:rFonts w:ascii="Times New Roman" w:eastAsiaTheme="minorEastAsia" w:hAnsi="Times New Roman" w:cs="Times New Roman"/>
          <w:color w:val="0A0A0A"/>
          <w:sz w:val="24"/>
        </w:rPr>
        <w:t xml:space="preserve">a </w:t>
      </w:r>
      <w:r w:rsidRPr="00C03185">
        <w:rPr>
          <w:rFonts w:eastAsiaTheme="minorEastAsia" w:cs="Times New Roman"/>
          <w:color w:val="0A0A0A"/>
          <w:szCs w:val="22"/>
        </w:rPr>
        <w:t>claim or interest over land or a building in respect of which the Personal Goods are located at present or at any time in the future.</w:t>
      </w:r>
    </w:p>
    <w:p w:rsidR="00C03185" w:rsidRPr="00C03185" w:rsidRDefault="00C03185" w:rsidP="00C03185">
      <w:pPr>
        <w:numPr>
          <w:ilvl w:val="0"/>
          <w:numId w:val="1"/>
        </w:numPr>
        <w:spacing w:before="0" w:after="120" w:line="276" w:lineRule="auto"/>
        <w:jc w:val="both"/>
        <w:rPr>
          <w:rFonts w:eastAsiaTheme="minorEastAsia" w:cs="Times New Roman"/>
          <w:color w:val="0A0A0A"/>
          <w:szCs w:val="22"/>
        </w:rPr>
      </w:pPr>
      <w:r w:rsidRPr="00C03185">
        <w:rPr>
          <w:rFonts w:eastAsiaTheme="minorEastAsia" w:cs="Times New Roman"/>
          <w:color w:val="0A0A0A"/>
          <w:szCs w:val="22"/>
        </w:rPr>
        <w:t>The Customer agrees to provide to the supplier when requested all details of the location of the Personal Goods.</w:t>
      </w:r>
    </w:p>
    <w:p w:rsidR="00C03185" w:rsidRPr="00C03185" w:rsidRDefault="00C03185" w:rsidP="00C03185">
      <w:pPr>
        <w:numPr>
          <w:ilvl w:val="0"/>
          <w:numId w:val="2"/>
        </w:numPr>
        <w:spacing w:before="240" w:after="120" w:line="276" w:lineRule="auto"/>
        <w:jc w:val="both"/>
        <w:rPr>
          <w:rFonts w:eastAsiaTheme="minorEastAsia" w:cs="Times New Roman"/>
          <w:b/>
          <w:color w:val="0A0A0A"/>
          <w:sz w:val="24"/>
          <w:szCs w:val="22"/>
        </w:rPr>
      </w:pPr>
      <w:r w:rsidRPr="00C03185">
        <w:rPr>
          <w:rFonts w:eastAsiaTheme="minorEastAsia" w:cs="Times New Roman"/>
          <w:b/>
          <w:color w:val="0A0A0A"/>
          <w:sz w:val="24"/>
          <w:szCs w:val="22"/>
        </w:rPr>
        <w:t>Where Bulk Wine is placed on Consignment</w:t>
      </w:r>
    </w:p>
    <w:p w:rsidR="00C03185" w:rsidRPr="00C03185" w:rsidRDefault="00C03185" w:rsidP="00C03185">
      <w:pPr>
        <w:ind w:left="720"/>
        <w:rPr>
          <w:rFonts w:eastAsiaTheme="minorEastAsia" w:cs="Times New Roman"/>
          <w:color w:val="0A0A0A"/>
          <w:szCs w:val="22"/>
        </w:rPr>
      </w:pPr>
      <w:r w:rsidRPr="00C03185">
        <w:rPr>
          <w:rFonts w:eastAsiaTheme="minorEastAsia" w:cs="Times New Roman"/>
          <w:color w:val="0A0A0A"/>
          <w:szCs w:val="22"/>
        </w:rPr>
        <w:t>"In consideration of the agreement on the part of the Supplier to supply and to continue to supply Personal Goods to the (</w:t>
      </w:r>
      <w:r w:rsidRPr="00C03185">
        <w:rPr>
          <w:rFonts w:ascii="Times New Roman" w:eastAsiaTheme="minorEastAsia" w:hAnsi="Times New Roman" w:cs="Times New Roman"/>
          <w:i/>
          <w:color w:val="0A0A0A"/>
          <w:szCs w:val="22"/>
        </w:rPr>
        <w:t>dealer/customer/distributor etc</w:t>
      </w:r>
      <w:r w:rsidRPr="00C03185">
        <w:rPr>
          <w:rFonts w:eastAsiaTheme="minorEastAsia" w:cs="Times New Roman"/>
          <w:color w:val="0A0A0A"/>
          <w:szCs w:val="22"/>
        </w:rPr>
        <w:t>) in accordance with these terms of trade the (</w:t>
      </w:r>
      <w:r w:rsidRPr="00C03185">
        <w:rPr>
          <w:rFonts w:ascii="Times New Roman" w:eastAsiaTheme="minorEastAsia" w:hAnsi="Times New Roman" w:cs="Times New Roman"/>
          <w:i/>
          <w:color w:val="0A0A0A"/>
          <w:szCs w:val="22"/>
        </w:rPr>
        <w:t>dealer/customer/distributor</w:t>
      </w:r>
      <w:r w:rsidRPr="00C03185">
        <w:rPr>
          <w:rFonts w:eastAsiaTheme="minorEastAsia" w:cs="Times New Roman"/>
          <w:color w:val="0A0A0A"/>
          <w:szCs w:val="22"/>
        </w:rPr>
        <w:t>) agrees and acknowledges the consignment Personal Goods delivered into its possession and the proceeds of the sale constitute collateral in respect of which the supplier is entitled to a Personal Property Security Interest until such time as the supplier receives payment in full on account of each such supply of collateral or the proceeds of its sale".</w:t>
      </w:r>
    </w:p>
    <w:p w:rsidR="00C03185" w:rsidRPr="00C03185" w:rsidRDefault="00C03185" w:rsidP="00C03185">
      <w:pPr>
        <w:widowControl w:val="0"/>
        <w:autoSpaceDE w:val="0"/>
        <w:autoSpaceDN w:val="0"/>
        <w:adjustRightInd w:val="0"/>
        <w:spacing w:after="120"/>
        <w:ind w:left="284"/>
        <w:jc w:val="both"/>
        <w:rPr>
          <w:rFonts w:ascii="Calibri" w:eastAsia="MS Mincho" w:hAnsi="Calibri" w:cs="TimesNewRomanPS-BoldMT"/>
          <w:i/>
          <w:lang w:eastAsia="en-US"/>
        </w:rPr>
      </w:pPr>
      <w:r w:rsidRPr="00C03185">
        <w:rPr>
          <w:rFonts w:ascii="Calibri" w:eastAsiaTheme="minorEastAsia" w:hAnsi="Calibri" w:cs="Calibri"/>
          <w:color w:val="0A0A0A"/>
          <w:szCs w:val="22"/>
        </w:rPr>
        <w:t>NB The descriptor terms of the parties used in the clauses will need to be varied to fit in with the language used in the grape or bulk wine contract</w:t>
      </w:r>
      <w:r w:rsidRPr="00C03185">
        <w:rPr>
          <w:rFonts w:ascii="Calibri" w:eastAsia="MS Mincho" w:hAnsi="Calibri" w:cs="TimesNewRomanPS-BoldMT"/>
          <w:i/>
          <w:noProof/>
        </w:rPr>
        <mc:AlternateContent>
          <mc:Choice Requires="wps">
            <w:drawing>
              <wp:anchor distT="0" distB="0" distL="114300" distR="114300" simplePos="0" relativeHeight="251659264" behindDoc="1" locked="0" layoutInCell="0" allowOverlap="1" wp14:anchorId="1B739B75" wp14:editId="3D1F86DC">
                <wp:simplePos x="0" y="0"/>
                <wp:positionH relativeFrom="page">
                  <wp:posOffset>1881505</wp:posOffset>
                </wp:positionH>
                <wp:positionV relativeFrom="paragraph">
                  <wp:posOffset>68580</wp:posOffset>
                </wp:positionV>
                <wp:extent cx="54610" cy="88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85" w:rsidRDefault="00C03185" w:rsidP="00C03185">
                            <w:pPr>
                              <w:rPr>
                                <w:color w:val="000000"/>
                              </w:rPr>
                            </w:pPr>
                            <w:proofErr w:type="gramStart"/>
                            <w:r>
                              <w:rPr>
                                <w:w w:val="111"/>
                              </w:rPr>
                              <w:t>h</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15pt;margin-top:5.4pt;width:4.3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oqgIAAKY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Clw&#10;h5EgHVD0wEaDbuWIItudodcZON334GZG2LaetlLd38nqm0ZCrhsiduxGKTk0jFDILrQ3/SdXJxxt&#10;QbbDR0khDNkb6YDGWnUWEJqBAB1YejwxY1OpYHMRL0M4qOAkSdLA8eaTbL7aK23eM9kha+RYAe0O&#10;mhzutLGpkGx2sZGELHnbOupb8WwDHKcdCAxX7ZlNwTH5Mw3STbJJYi+OlhsvDorCuynXsbcsw8tF&#10;8a5Yr4vwl40bxlnDKWXChplVFcZ/xtpR35MeTrrSsuXUwtmUtNpt161CBwKqLt3nGg4nZzf/eRqu&#10;CVDLi5LCKA5uo9Qrl8mlF5fxwksvg8QLwvQ2XQZxGhfl85LuuGD/XhIacpwuosWkpHPSL2oL3Pe6&#10;NpJ13MDcaHkHgjg5kczqbyOoo9YQ3k72k1bY9M+tALpnop1arUAnqZpxOwKKlfBW0kfQrZKgLNAg&#10;DDswGql+YDTA4Mix/r4nimHUfhCgfTtlZkPNxnY2iKjgao4NRpO5NtM02veK7xpAnl6XkDfwPmru&#10;1HvO4viqYBi4Io6Dy06bp//O6zxeV78BAAD//wMAUEsDBBQABgAIAAAAIQDRVnps3gAAAAkBAAAP&#10;AAAAZHJzL2Rvd25yZXYueG1sTI/BTsMwEETvSPyDtUjcqE1bRU2IU1UITkiINBw4Osk2sRqvQ+y2&#10;4e9ZTvS4mqfZN/l2doM44xSsJw2PCwUCqfGtpU7DZ/X6sAERoqHWDJ5Qww8G2Ba3N7nJWn+hEs/7&#10;2AkuoZAZDX2MYyZlaHp0Jiz8iMTZwU/ORD6nTraTuXC5G+RSqUQ6Y4k/9GbE5x6b4/7kNOy+qHyx&#10;3+/1R3kobVWlit6So9b3d/PuCUTEOf7D8KfP6lCwU+1P1AYxaFimyYpRDhRPYGCl1imImpP1BmSR&#10;y+sFxS8AAAD//wMAUEsBAi0AFAAGAAgAAAAhALaDOJL+AAAA4QEAABMAAAAAAAAAAAAAAAAAAAAA&#10;AFtDb250ZW50X1R5cGVzXS54bWxQSwECLQAUAAYACAAAACEAOP0h/9YAAACUAQAACwAAAAAAAAAA&#10;AAAAAAAvAQAAX3JlbHMvLnJlbHNQSwECLQAUAAYACAAAACEALNviaKoCAACmBQAADgAAAAAAAAAA&#10;AAAAAAAuAgAAZHJzL2Uyb0RvYy54bWxQSwECLQAUAAYACAAAACEA0VZ6bN4AAAAJAQAADwAAAAAA&#10;AAAAAAAAAAAEBQAAZHJzL2Rvd25yZXYueG1sUEsFBgAAAAAEAAQA8wAAAA8GAAAAAA==&#10;" o:allowincell="f" filled="f" stroked="f">
                <v:textbox inset="0,0,0,0">
                  <w:txbxContent>
                    <w:p w:rsidR="00C03185" w:rsidRDefault="00C03185" w:rsidP="00C03185">
                      <w:pPr>
                        <w:rPr>
                          <w:color w:val="000000"/>
                        </w:rPr>
                      </w:pPr>
                      <w:proofErr w:type="gramStart"/>
                      <w:r>
                        <w:rPr>
                          <w:w w:val="111"/>
                        </w:rPr>
                        <w:t>h</w:t>
                      </w:r>
                      <w:proofErr w:type="gramEnd"/>
                    </w:p>
                  </w:txbxContent>
                </v:textbox>
                <w10:wrap anchorx="page"/>
              </v:shape>
            </w:pict>
          </mc:Fallback>
        </mc:AlternateContent>
      </w:r>
    </w:p>
    <w:p w:rsidR="00C03185" w:rsidRPr="00C03185" w:rsidRDefault="00C03185" w:rsidP="00C03185">
      <w:pPr>
        <w:widowControl w:val="0"/>
        <w:autoSpaceDE w:val="0"/>
        <w:autoSpaceDN w:val="0"/>
        <w:adjustRightInd w:val="0"/>
        <w:spacing w:after="120"/>
        <w:ind w:left="284"/>
        <w:jc w:val="both"/>
        <w:rPr>
          <w:rFonts w:ascii="Calibri" w:eastAsia="MS Mincho" w:hAnsi="Calibri" w:cs="Helvetica"/>
          <w:i/>
          <w:sz w:val="6"/>
          <w:lang w:eastAsia="en-US"/>
        </w:rPr>
      </w:pPr>
    </w:p>
    <w:p w:rsidR="00C03185" w:rsidRPr="00C03185" w:rsidRDefault="00C03185" w:rsidP="00C03185">
      <w:pPr>
        <w:keepNext/>
        <w:spacing w:before="240" w:after="120"/>
        <w:ind w:left="851" w:hanging="851"/>
        <w:jc w:val="both"/>
        <w:outlineLvl w:val="1"/>
        <w:rPr>
          <w:rFonts w:ascii="Calibri" w:eastAsia="MS Mincho" w:hAnsi="Calibri" w:cs="Times New Roman"/>
          <w:b/>
          <w:bCs/>
          <w:color w:val="000000"/>
          <w:sz w:val="28"/>
          <w:szCs w:val="28"/>
        </w:rPr>
      </w:pPr>
      <w:r w:rsidRPr="00C03185">
        <w:rPr>
          <w:rFonts w:ascii="Calibri" w:eastAsia="MS Mincho" w:hAnsi="Calibri" w:cs="Times New Roman"/>
          <w:b/>
          <w:bCs/>
          <w:color w:val="000000"/>
          <w:sz w:val="20"/>
          <w:szCs w:val="20"/>
          <w:lang w:eastAsia="en-US"/>
        </w:rPr>
        <w:br w:type="page"/>
      </w:r>
      <w:bookmarkStart w:id="1" w:name="_Toc372278343"/>
      <w:r w:rsidRPr="00C03185">
        <w:rPr>
          <w:rFonts w:ascii="Calibri" w:eastAsia="MS Mincho" w:hAnsi="Calibri" w:cs="Times New Roman"/>
          <w:b/>
          <w:bCs/>
          <w:color w:val="000000"/>
          <w:sz w:val="28"/>
          <w:szCs w:val="28"/>
        </w:rPr>
        <w:lastRenderedPageBreak/>
        <w:t>Personal Property Security Register Terminology</w:t>
      </w:r>
      <w:bookmarkEnd w:id="1"/>
    </w:p>
    <w:p w:rsidR="00C03185" w:rsidRPr="00C03185" w:rsidRDefault="00C03185" w:rsidP="00C03185">
      <w:pPr>
        <w:spacing w:before="240"/>
        <w:rPr>
          <w:rFonts w:eastAsiaTheme="minorEastAsia" w:cs="Times New Roman"/>
          <w:color w:val="0A0A0A"/>
          <w:szCs w:val="22"/>
        </w:rPr>
      </w:pPr>
      <w:r w:rsidRPr="00C03185">
        <w:rPr>
          <w:rFonts w:eastAsiaTheme="minorEastAsia" w:cs="Times New Roman"/>
          <w:color w:val="0A0A0A"/>
          <w:szCs w:val="22"/>
        </w:rPr>
        <w:t>"</w:t>
      </w:r>
      <w:r w:rsidRPr="00C03185">
        <w:rPr>
          <w:rFonts w:eastAsiaTheme="minorEastAsia" w:cs="Times New Roman"/>
          <w:b/>
          <w:color w:val="0A0A0A"/>
          <w:szCs w:val="22"/>
        </w:rPr>
        <w:t>Grantor</w:t>
      </w:r>
      <w:r w:rsidRPr="00C03185">
        <w:rPr>
          <w:rFonts w:eastAsiaTheme="minorEastAsia" w:cs="Times New Roman"/>
          <w:color w:val="0A0A0A"/>
          <w:szCs w:val="22"/>
        </w:rPr>
        <w:t>"-</w:t>
      </w:r>
      <w:r w:rsidRPr="00C03185">
        <w:rPr>
          <w:rFonts w:eastAsiaTheme="minorEastAsia" w:cs="Times New Roman"/>
          <w:color w:val="0A0A0A"/>
          <w:szCs w:val="22"/>
          <w:lang w:val="en"/>
        </w:rPr>
        <w:t xml:space="preserve"> A person that you sell goods to which a security interest has been registered (i.e. they grant you permission to register an interest). </w:t>
      </w:r>
    </w:p>
    <w:p w:rsidR="00C03185" w:rsidRPr="00C03185" w:rsidRDefault="00C03185" w:rsidP="00C03185">
      <w:pPr>
        <w:rPr>
          <w:rFonts w:eastAsiaTheme="minorEastAsia" w:cs="Times New Roman"/>
          <w:color w:val="0A0A0A"/>
          <w:szCs w:val="22"/>
        </w:rPr>
      </w:pPr>
      <w:r w:rsidRPr="00C03185">
        <w:rPr>
          <w:rFonts w:eastAsiaTheme="minorEastAsia" w:cs="Times New Roman"/>
          <w:color w:val="0A0A0A"/>
          <w:szCs w:val="22"/>
        </w:rPr>
        <w:t>"</w:t>
      </w:r>
      <w:r w:rsidRPr="00C03185">
        <w:rPr>
          <w:rFonts w:eastAsiaTheme="minorEastAsia" w:cs="Times New Roman"/>
          <w:b/>
          <w:color w:val="0A0A0A"/>
          <w:szCs w:val="22"/>
        </w:rPr>
        <w:t>Personal Goods</w:t>
      </w:r>
      <w:r w:rsidRPr="00C03185">
        <w:rPr>
          <w:rFonts w:eastAsiaTheme="minorEastAsia" w:cs="Times New Roman"/>
          <w:color w:val="0A0A0A"/>
          <w:szCs w:val="22"/>
        </w:rPr>
        <w:t>" - this now reads for words such as "chattels", "choses in action", "shares", "paper securities", "Personal Goods" and many more.</w:t>
      </w:r>
    </w:p>
    <w:p w:rsidR="00C03185" w:rsidRPr="00C03185" w:rsidRDefault="00C03185" w:rsidP="00C03185">
      <w:pPr>
        <w:rPr>
          <w:rFonts w:eastAsiaTheme="minorEastAsia" w:cs="Times New Roman"/>
          <w:color w:val="0A0A0A"/>
          <w:szCs w:val="22"/>
        </w:rPr>
      </w:pPr>
      <w:proofErr w:type="gramStart"/>
      <w:r w:rsidRPr="00C03185">
        <w:rPr>
          <w:rFonts w:eastAsiaTheme="minorEastAsia" w:cs="Times New Roman"/>
          <w:color w:val="0A0A0A"/>
          <w:szCs w:val="22"/>
        </w:rPr>
        <w:t>"</w:t>
      </w:r>
      <w:r w:rsidRPr="00C03185">
        <w:rPr>
          <w:rFonts w:eastAsiaTheme="minorEastAsia" w:cs="Times New Roman"/>
          <w:b/>
          <w:color w:val="0A0A0A"/>
          <w:szCs w:val="22"/>
        </w:rPr>
        <w:t>Personal Money Security Interest</w:t>
      </w:r>
      <w:r w:rsidRPr="00C03185">
        <w:rPr>
          <w:rFonts w:eastAsiaTheme="minorEastAsia" w:cs="Times New Roman"/>
          <w:color w:val="0A0A0A"/>
          <w:szCs w:val="22"/>
        </w:rPr>
        <w:t>"- known by the acronym "PMSI".</w:t>
      </w:r>
      <w:proofErr w:type="gramEnd"/>
      <w:r w:rsidRPr="00C03185">
        <w:rPr>
          <w:rFonts w:eastAsiaTheme="minorEastAsia" w:cs="Times New Roman"/>
          <w:color w:val="0A0A0A"/>
          <w:szCs w:val="22"/>
        </w:rPr>
        <w:t xml:space="preserve"> In relation to PPSR there are four types of PMSI:</w:t>
      </w:r>
    </w:p>
    <w:p w:rsidR="00C03185" w:rsidRPr="00C03185" w:rsidRDefault="00C03185" w:rsidP="00C03185">
      <w:pPr>
        <w:numPr>
          <w:ilvl w:val="0"/>
          <w:numId w:val="3"/>
        </w:numPr>
        <w:spacing w:before="0" w:after="120" w:line="276" w:lineRule="auto"/>
        <w:jc w:val="both"/>
        <w:rPr>
          <w:rFonts w:eastAsiaTheme="minorEastAsia" w:cs="Times New Roman"/>
          <w:color w:val="0A0A0A"/>
          <w:szCs w:val="22"/>
        </w:rPr>
      </w:pPr>
      <w:r w:rsidRPr="00C03185">
        <w:rPr>
          <w:rFonts w:eastAsiaTheme="minorEastAsia" w:cs="Times New Roman"/>
          <w:color w:val="0A0A0A"/>
          <w:szCs w:val="22"/>
        </w:rPr>
        <w:t>retention of title clauses which are relevant to grape growers and people or entities dealing in bulk wine;</w:t>
      </w:r>
    </w:p>
    <w:p w:rsidR="00C03185" w:rsidRPr="00C03185" w:rsidRDefault="00C03185" w:rsidP="00C03185">
      <w:pPr>
        <w:numPr>
          <w:ilvl w:val="0"/>
          <w:numId w:val="3"/>
        </w:numPr>
        <w:spacing w:after="120"/>
        <w:jc w:val="both"/>
        <w:rPr>
          <w:rFonts w:eastAsiaTheme="minorEastAsia" w:cs="Calibri"/>
          <w:color w:val="0A0A0A"/>
          <w:szCs w:val="22"/>
        </w:rPr>
      </w:pPr>
      <w:r w:rsidRPr="00C03185">
        <w:rPr>
          <w:rFonts w:eastAsiaTheme="minorEastAsia" w:cs="Calibri"/>
          <w:color w:val="0A0A0A"/>
          <w:szCs w:val="22"/>
        </w:rPr>
        <w:t>where a financier provides funds to a customer to enable the purchase of plant, equipment or other Personal Goods (i.e. personal property) over which the financier takes security;</w:t>
      </w:r>
    </w:p>
    <w:p w:rsidR="00C03185" w:rsidRPr="00C03185" w:rsidRDefault="00C03185" w:rsidP="00C03185">
      <w:pPr>
        <w:numPr>
          <w:ilvl w:val="0"/>
          <w:numId w:val="3"/>
        </w:numPr>
        <w:spacing w:after="120"/>
        <w:jc w:val="both"/>
        <w:rPr>
          <w:rFonts w:eastAsiaTheme="minorEastAsia" w:cs="Calibri"/>
          <w:color w:val="0A0A0A"/>
          <w:szCs w:val="22"/>
        </w:rPr>
      </w:pPr>
      <w:r w:rsidRPr="00C03185">
        <w:rPr>
          <w:rFonts w:eastAsiaTheme="minorEastAsia" w:cs="Calibri"/>
          <w:color w:val="0A0A0A"/>
          <w:szCs w:val="22"/>
        </w:rPr>
        <w:t>a leasing arrangement or a commercial bailment where the term exceeds three months in the case of motor vehicles, boats and aircraft, or exceeds one year for other types of personal property;</w:t>
      </w:r>
    </w:p>
    <w:p w:rsidR="00C03185" w:rsidRPr="00C03185" w:rsidRDefault="00C03185" w:rsidP="00C03185">
      <w:pPr>
        <w:numPr>
          <w:ilvl w:val="0"/>
          <w:numId w:val="3"/>
        </w:numPr>
        <w:spacing w:after="120"/>
        <w:jc w:val="both"/>
        <w:rPr>
          <w:rFonts w:eastAsiaTheme="minorEastAsia" w:cs="Calibri"/>
          <w:color w:val="0A0A0A"/>
          <w:szCs w:val="22"/>
        </w:rPr>
      </w:pPr>
      <w:r w:rsidRPr="00C03185">
        <w:rPr>
          <w:rFonts w:eastAsiaTheme="minorEastAsia" w:cs="Calibri"/>
          <w:color w:val="0A0A0A"/>
          <w:szCs w:val="22"/>
        </w:rPr>
        <w:t>Personal Goods made available on consignment which is relevant to people or entities dealing in bulk wine........ The same situation applies to the vendor of bulk wine consignment arrangements exist.</w:t>
      </w:r>
    </w:p>
    <w:p w:rsidR="00C03185" w:rsidRPr="00C03185" w:rsidRDefault="00C03185" w:rsidP="00C03185">
      <w:pPr>
        <w:rPr>
          <w:rFonts w:eastAsiaTheme="minorEastAsia" w:cs="Times New Roman"/>
          <w:color w:val="0A0A0A"/>
          <w:szCs w:val="22"/>
        </w:rPr>
      </w:pPr>
      <w:r w:rsidRPr="00C03185">
        <w:rPr>
          <w:rFonts w:eastAsiaTheme="minorEastAsia" w:cs="Times New Roman"/>
          <w:color w:val="0A0A0A"/>
          <w:szCs w:val="22"/>
        </w:rPr>
        <w:t>"</w:t>
      </w:r>
      <w:r w:rsidRPr="00C03185">
        <w:rPr>
          <w:rFonts w:eastAsiaTheme="minorEastAsia" w:cs="Times New Roman"/>
          <w:b/>
          <w:color w:val="0A0A0A"/>
          <w:szCs w:val="22"/>
        </w:rPr>
        <w:t>Personal Property Security Interest</w:t>
      </w:r>
      <w:r w:rsidRPr="00C03185">
        <w:rPr>
          <w:rFonts w:eastAsiaTheme="minorEastAsia" w:cs="Times New Roman"/>
          <w:color w:val="0A0A0A"/>
          <w:szCs w:val="22"/>
        </w:rPr>
        <w:t>" - this means an interest in Personal Goods over which a</w:t>
      </w:r>
      <w:r w:rsidRPr="00C03185">
        <w:rPr>
          <w:rFonts w:eastAsiaTheme="minorEastAsia" w:cs="Times New Roman"/>
          <w:i/>
          <w:iCs/>
          <w:color w:val="0A0A0A"/>
          <w:szCs w:val="22"/>
        </w:rPr>
        <w:t xml:space="preserve"> </w:t>
      </w:r>
      <w:r w:rsidRPr="00C03185">
        <w:rPr>
          <w:rFonts w:eastAsiaTheme="minorEastAsia" w:cs="Times New Roman"/>
          <w:color w:val="0A0A0A"/>
          <w:szCs w:val="22"/>
        </w:rPr>
        <w:t>security interest is claimed.</w:t>
      </w:r>
    </w:p>
    <w:p w:rsidR="00C03185" w:rsidRPr="00C03185" w:rsidRDefault="00C03185" w:rsidP="00C03185">
      <w:pPr>
        <w:rPr>
          <w:rFonts w:eastAsiaTheme="minorEastAsia" w:cs="Times New Roman"/>
          <w:color w:val="0A0A0A"/>
          <w:szCs w:val="22"/>
        </w:rPr>
      </w:pPr>
      <w:r w:rsidRPr="00C03185">
        <w:rPr>
          <w:rFonts w:eastAsiaTheme="minorEastAsia" w:cs="Times New Roman"/>
          <w:color w:val="0A0A0A"/>
          <w:szCs w:val="22"/>
        </w:rPr>
        <w:t>"</w:t>
      </w:r>
      <w:r w:rsidRPr="00C03185">
        <w:rPr>
          <w:rFonts w:eastAsiaTheme="minorEastAsia" w:cs="Times New Roman"/>
          <w:b/>
          <w:color w:val="0A0A0A"/>
          <w:szCs w:val="22"/>
        </w:rPr>
        <w:t>Perfection</w:t>
      </w:r>
      <w:r w:rsidRPr="00C03185">
        <w:rPr>
          <w:rFonts w:eastAsiaTheme="minorEastAsia" w:cs="Times New Roman"/>
          <w:color w:val="0A0A0A"/>
          <w:szCs w:val="22"/>
        </w:rPr>
        <w:t>"- this is the act of registration</w:t>
      </w:r>
    </w:p>
    <w:p w:rsidR="00C03185" w:rsidRPr="00C03185" w:rsidRDefault="00C03185" w:rsidP="00C03185">
      <w:pPr>
        <w:rPr>
          <w:rFonts w:eastAsiaTheme="minorEastAsia" w:cs="Times New Roman"/>
          <w:color w:val="0A0A0A"/>
          <w:szCs w:val="22"/>
        </w:rPr>
      </w:pPr>
      <w:r w:rsidRPr="00C03185">
        <w:rPr>
          <w:rFonts w:eastAsiaTheme="minorEastAsia" w:cs="Times New Roman"/>
          <w:color w:val="0A0A0A"/>
          <w:szCs w:val="22"/>
        </w:rPr>
        <w:t>"</w:t>
      </w:r>
      <w:r w:rsidRPr="00C03185">
        <w:rPr>
          <w:rFonts w:eastAsiaTheme="minorEastAsia" w:cs="Times New Roman"/>
          <w:b/>
          <w:color w:val="0A0A0A"/>
          <w:szCs w:val="22"/>
        </w:rPr>
        <w:t>Financing Statement</w:t>
      </w:r>
      <w:r w:rsidRPr="00C03185">
        <w:rPr>
          <w:rFonts w:eastAsiaTheme="minorEastAsia" w:cs="Times New Roman"/>
          <w:color w:val="0A0A0A"/>
          <w:szCs w:val="22"/>
        </w:rPr>
        <w:t>" - this in effect means entering a security interest on the register and obtaining confirmation of this. In effect, this is evidence of the registered security.</w:t>
      </w:r>
    </w:p>
    <w:p w:rsidR="00C03185" w:rsidRPr="00C03185" w:rsidRDefault="00C03185" w:rsidP="00C03185">
      <w:pPr>
        <w:rPr>
          <w:rFonts w:eastAsiaTheme="minorEastAsia" w:cs="Times New Roman"/>
          <w:color w:val="0A0A0A"/>
          <w:szCs w:val="22"/>
        </w:rPr>
      </w:pPr>
      <w:proofErr w:type="gramStart"/>
      <w:r w:rsidRPr="00C03185">
        <w:rPr>
          <w:rFonts w:eastAsiaTheme="minorEastAsia" w:cs="Times New Roman"/>
          <w:color w:val="0A0A0A"/>
          <w:szCs w:val="22"/>
        </w:rPr>
        <w:t>“</w:t>
      </w:r>
      <w:r w:rsidRPr="00C03185">
        <w:rPr>
          <w:rFonts w:eastAsiaTheme="minorEastAsia" w:cs="Times New Roman"/>
          <w:b/>
          <w:color w:val="0A0A0A"/>
          <w:szCs w:val="22"/>
        </w:rPr>
        <w:t>Collateral</w:t>
      </w:r>
      <w:r w:rsidRPr="00C03185">
        <w:rPr>
          <w:rFonts w:eastAsiaTheme="minorEastAsia" w:cs="Times New Roman"/>
          <w:color w:val="0A0A0A"/>
          <w:szCs w:val="22"/>
        </w:rPr>
        <w:t>"- the p</w:t>
      </w:r>
      <w:proofErr w:type="spellStart"/>
      <w:r w:rsidRPr="00C03185">
        <w:rPr>
          <w:rFonts w:eastAsiaTheme="minorEastAsia" w:cs="Times New Roman"/>
          <w:color w:val="0A0A0A"/>
          <w:szCs w:val="22"/>
          <w:lang w:val="en"/>
        </w:rPr>
        <w:t>ersonal</w:t>
      </w:r>
      <w:proofErr w:type="spellEnd"/>
      <w:r w:rsidRPr="00C03185">
        <w:rPr>
          <w:rFonts w:eastAsiaTheme="minorEastAsia" w:cs="Times New Roman"/>
          <w:color w:val="0A0A0A"/>
          <w:szCs w:val="22"/>
          <w:lang w:val="en"/>
        </w:rPr>
        <w:t xml:space="preserve"> property that is the subject of a security interest.</w:t>
      </w:r>
      <w:proofErr w:type="gramEnd"/>
      <w:r w:rsidRPr="00C03185">
        <w:rPr>
          <w:rFonts w:eastAsiaTheme="minorEastAsia" w:cs="Times New Roman"/>
          <w:color w:val="0A0A0A"/>
          <w:szCs w:val="22"/>
          <w:lang w:val="en"/>
        </w:rPr>
        <w:t xml:space="preserve"> For farmers this includes crops or livestock</w:t>
      </w:r>
      <w:r w:rsidRPr="00C03185">
        <w:rPr>
          <w:rFonts w:eastAsiaTheme="minorEastAsia" w:cs="Times New Roman"/>
          <w:color w:val="0A0A0A"/>
          <w:szCs w:val="22"/>
        </w:rPr>
        <w:t>.</w:t>
      </w:r>
    </w:p>
    <w:p w:rsidR="00C03185" w:rsidRPr="00C03185" w:rsidRDefault="00C03185" w:rsidP="00C03185">
      <w:pPr>
        <w:rPr>
          <w:rFonts w:ascii="Calibri" w:eastAsia="MS Mincho" w:hAnsi="Calibri" w:cs="Times New Roman"/>
          <w:sz w:val="20"/>
          <w:szCs w:val="20"/>
          <w:lang w:eastAsia="en-US"/>
        </w:rPr>
      </w:pPr>
      <w:r w:rsidRPr="00C03185">
        <w:rPr>
          <w:rFonts w:eastAsiaTheme="minorEastAsia" w:cs="Times New Roman"/>
          <w:color w:val="0A0A0A"/>
          <w:szCs w:val="22"/>
        </w:rPr>
        <w:t>"</w:t>
      </w:r>
      <w:r w:rsidRPr="00C03185">
        <w:rPr>
          <w:rFonts w:eastAsiaTheme="minorEastAsia" w:cs="Times New Roman"/>
          <w:b/>
          <w:color w:val="0A0A0A"/>
          <w:szCs w:val="22"/>
        </w:rPr>
        <w:t>Proceeds</w:t>
      </w:r>
      <w:r w:rsidRPr="00C03185">
        <w:rPr>
          <w:rFonts w:eastAsiaTheme="minorEastAsia" w:cs="Times New Roman"/>
          <w:color w:val="0A0A0A"/>
          <w:szCs w:val="22"/>
        </w:rPr>
        <w:t>" - means the proceeds of the sale or other dealing in the collateral.</w:t>
      </w:r>
    </w:p>
    <w:p w:rsidR="00657974" w:rsidRPr="00C03185" w:rsidRDefault="00657974" w:rsidP="00C03185">
      <w:pPr>
        <w:spacing w:before="0"/>
        <w:rPr>
          <w:rFonts w:ascii="Calibri" w:eastAsia="MS Mincho" w:hAnsi="Calibri" w:cs="Times New Roman"/>
          <w:b/>
          <w:bCs/>
          <w:caps/>
          <w:noProof/>
          <w:color w:val="006532"/>
          <w:sz w:val="30"/>
          <w:szCs w:val="30"/>
          <w:lang w:val="en-US"/>
        </w:rPr>
      </w:pPr>
      <w:bookmarkStart w:id="2" w:name="_GoBack"/>
      <w:bookmarkEnd w:id="2"/>
    </w:p>
    <w:sectPr w:rsidR="00657974" w:rsidRPr="00C031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E5CEC"/>
    <w:multiLevelType w:val="hybridMultilevel"/>
    <w:tmpl w:val="13A88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AF32B54"/>
    <w:multiLevelType w:val="hybridMultilevel"/>
    <w:tmpl w:val="45566E66"/>
    <w:lvl w:ilvl="0" w:tplc="E1CC05A8">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nsid w:val="75225BC5"/>
    <w:multiLevelType w:val="hybridMultilevel"/>
    <w:tmpl w:val="B1AA4B22"/>
    <w:lvl w:ilvl="0" w:tplc="A66280B8">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85"/>
    <w:rsid w:val="00657974"/>
    <w:rsid w:val="00A2587B"/>
    <w:rsid w:val="00A417AA"/>
    <w:rsid w:val="00C03185"/>
    <w:rsid w:val="00E56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AA"/>
    <w:pPr>
      <w:spacing w:before="120"/>
    </w:pPr>
  </w:style>
  <w:style w:type="paragraph" w:styleId="Heading1">
    <w:name w:val="heading 1"/>
    <w:basedOn w:val="Normal"/>
    <w:next w:val="Normal"/>
    <w:link w:val="Heading1Char"/>
    <w:uiPriority w:val="9"/>
    <w:qFormat/>
    <w:rsid w:val="00E5631D"/>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semiHidden/>
    <w:unhideWhenUsed/>
    <w:qFormat/>
    <w:rsid w:val="00E563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631D"/>
    <w:pPr>
      <w:keepNext/>
      <w:keepLines/>
      <w:spacing w:before="200" w:line="276" w:lineRule="auto"/>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31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E563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631D"/>
    <w:rPr>
      <w:rFonts w:asciiTheme="majorHAnsi" w:eastAsiaTheme="majorEastAsia" w:hAnsiTheme="majorHAnsi" w:cstheme="majorBidi"/>
      <w:b/>
      <w:bCs/>
      <w:color w:val="4F81BD" w:themeColor="accent1"/>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AA"/>
    <w:pPr>
      <w:spacing w:before="120"/>
    </w:pPr>
  </w:style>
  <w:style w:type="paragraph" w:styleId="Heading1">
    <w:name w:val="heading 1"/>
    <w:basedOn w:val="Normal"/>
    <w:next w:val="Normal"/>
    <w:link w:val="Heading1Char"/>
    <w:uiPriority w:val="9"/>
    <w:qFormat/>
    <w:rsid w:val="00E5631D"/>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semiHidden/>
    <w:unhideWhenUsed/>
    <w:qFormat/>
    <w:rsid w:val="00E563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631D"/>
    <w:pPr>
      <w:keepNext/>
      <w:keepLines/>
      <w:spacing w:before="200" w:line="276" w:lineRule="auto"/>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31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E563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631D"/>
    <w:rPr>
      <w:rFonts w:asciiTheme="majorHAnsi" w:eastAsiaTheme="majorEastAsia" w:hAnsiTheme="majorHAnsi" w:cstheme="majorBidi"/>
      <w:b/>
      <w:bCs/>
      <w:color w:val="4F81BD" w:themeColor="accent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3737</Characters>
  <Application>Microsoft Office Word</Application>
  <DocSecurity>0</DocSecurity>
  <Lines>31</Lines>
  <Paragraphs>8</Paragraphs>
  <ScaleCrop>false</ScaleCrop>
  <Company>Toshiba</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Hathaway</dc:creator>
  <cp:lastModifiedBy>Sandy Hathaway</cp:lastModifiedBy>
  <cp:revision>1</cp:revision>
  <dcterms:created xsi:type="dcterms:W3CDTF">2013-12-28T04:42:00Z</dcterms:created>
  <dcterms:modified xsi:type="dcterms:W3CDTF">2013-12-28T04:43:00Z</dcterms:modified>
</cp:coreProperties>
</file>